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04E91">
      <w:pPr>
        <w:pStyle w:val="43"/>
        <w:framePr w:w="0" w:hRule="auto" w:wrap="auto" w:vAnchor="margin" w:hAnchor="text" w:xAlign="left" w:yAlign="inline"/>
        <w:rPr>
          <w:rFonts w:hint="eastAsia" w:ascii="宋体" w:hAnsi="宋体" w:eastAsia="宋体" w:cs="宋体"/>
          <w:b/>
          <w:sz w:val="48"/>
          <w:szCs w:val="48"/>
        </w:rPr>
      </w:pPr>
      <w:bookmarkStart w:id="0" w:name="SectionMark0"/>
    </w:p>
    <w:p w14:paraId="1BD1DC12">
      <w:pPr>
        <w:pStyle w:val="43"/>
        <w:framePr w:w="0" w:hRule="auto" w:wrap="auto" w:vAnchor="margin" w:hAnchor="text" w:xAlign="left" w:yAlign="inline"/>
        <w:rPr>
          <w:rFonts w:hint="eastAsia" w:ascii="宋体" w:hAnsi="宋体" w:eastAsia="宋体" w:cs="宋体"/>
          <w:b/>
          <w:sz w:val="48"/>
          <w:szCs w:val="48"/>
        </w:rPr>
      </w:pPr>
    </w:p>
    <w:p w14:paraId="50134B98">
      <w:pPr>
        <w:pStyle w:val="43"/>
        <w:framePr w:w="0" w:hRule="auto" w:wrap="auto" w:vAnchor="margin" w:hAnchor="text" w:xAlign="left" w:yAlign="inline"/>
        <w:rPr>
          <w:rFonts w:hint="eastAsia" w:ascii="宋体" w:hAnsi="宋体" w:eastAsia="宋体" w:cs="宋体"/>
          <w:b/>
          <w:sz w:val="48"/>
          <w:szCs w:val="48"/>
        </w:rPr>
      </w:pPr>
    </w:p>
    <w:p w14:paraId="0E11B3E3">
      <w:pPr>
        <w:pStyle w:val="43"/>
        <w:framePr w:w="0" w:hRule="auto" w:wrap="auto" w:vAnchor="margin" w:hAnchor="text" w:xAlign="left" w:yAlign="inline"/>
        <w:rPr>
          <w:rFonts w:hint="eastAsia" w:ascii="宋体" w:hAnsi="宋体" w:eastAsia="宋体" w:cs="宋体"/>
          <w:b/>
          <w:sz w:val="48"/>
          <w:szCs w:val="48"/>
        </w:rPr>
      </w:pPr>
    </w:p>
    <w:p w14:paraId="2E66A6D5">
      <w:pPr>
        <w:pStyle w:val="43"/>
        <w:framePr w:w="0" w:hRule="auto" w:wrap="auto" w:vAnchor="margin" w:hAnchor="text" w:xAlign="left" w:yAlign="inline"/>
        <w:rPr>
          <w:rFonts w:hint="eastAsia" w:ascii="宋体" w:hAnsi="宋体" w:eastAsia="宋体" w:cs="宋体"/>
          <w:b/>
          <w:sz w:val="48"/>
          <w:szCs w:val="48"/>
        </w:rPr>
      </w:pPr>
    </w:p>
    <w:p w14:paraId="4B425F2C">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2026年南方电网数字电网集团有限公司深圳分公司软硬件产品（堡垒机、日志审计系统、入侵防御系统）投标寻源项目（标的</w:t>
      </w:r>
      <w:r>
        <w:rPr>
          <w:rFonts w:hint="eastAsia" w:ascii="宋体" w:hAnsi="宋体" w:eastAsia="宋体" w:cs="宋体"/>
          <w:b/>
          <w:sz w:val="36"/>
          <w:szCs w:val="36"/>
          <w:lang w:val="en-US" w:eastAsia="zh-CN"/>
        </w:rPr>
        <w:t>5</w:t>
      </w: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入侵防御系统（数据库防火墙）</w:t>
      </w:r>
      <w:r>
        <w:rPr>
          <w:rFonts w:hint="eastAsia" w:ascii="宋体" w:hAnsi="宋体" w:eastAsia="宋体" w:cs="宋体"/>
          <w:b/>
          <w:sz w:val="36"/>
          <w:szCs w:val="36"/>
          <w:lang w:eastAsia="zh-CN"/>
        </w:rPr>
        <w:t>）</w:t>
      </w:r>
    </w:p>
    <w:p w14:paraId="76F03A84">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520DC515">
      <w:pPr>
        <w:pStyle w:val="60"/>
        <w:rPr>
          <w:rFonts w:hint="eastAsia" w:hAnsi="宋体" w:cs="宋体"/>
        </w:rPr>
      </w:pPr>
    </w:p>
    <w:p w14:paraId="3B0AB72E">
      <w:pPr>
        <w:pStyle w:val="60"/>
        <w:rPr>
          <w:rFonts w:hint="eastAsia" w:hAnsi="宋体" w:cs="宋体"/>
        </w:rPr>
      </w:pPr>
    </w:p>
    <w:p w14:paraId="2E97115B">
      <w:pPr>
        <w:pStyle w:val="60"/>
        <w:rPr>
          <w:rFonts w:hint="eastAsia" w:hAnsi="宋体" w:cs="宋体"/>
        </w:rPr>
      </w:pPr>
    </w:p>
    <w:p w14:paraId="1CE2CC0B">
      <w:pPr>
        <w:pStyle w:val="60"/>
        <w:rPr>
          <w:rFonts w:hint="eastAsia" w:hAnsi="宋体" w:cs="宋体"/>
        </w:rPr>
      </w:pPr>
    </w:p>
    <w:p w14:paraId="7F0B8070">
      <w:pPr>
        <w:pStyle w:val="60"/>
        <w:rPr>
          <w:rFonts w:hint="eastAsia" w:hAnsi="宋体" w:cs="宋体"/>
        </w:rPr>
      </w:pPr>
    </w:p>
    <w:p w14:paraId="02E1BD23">
      <w:pPr>
        <w:pStyle w:val="60"/>
        <w:jc w:val="both"/>
        <w:rPr>
          <w:rFonts w:hint="eastAsia" w:hAnsi="宋体" w:cs="宋体"/>
        </w:rPr>
      </w:pPr>
    </w:p>
    <w:p w14:paraId="46E4317C">
      <w:pPr>
        <w:pStyle w:val="60"/>
        <w:jc w:val="both"/>
        <w:rPr>
          <w:rFonts w:hint="eastAsia" w:hAnsi="宋体" w:cs="宋体"/>
        </w:rPr>
      </w:pPr>
    </w:p>
    <w:p w14:paraId="60E1E2AE">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7</w:t>
      </w:r>
      <w:r>
        <w:rPr>
          <w:rFonts w:hint="eastAsia" w:hAnsi="宋体" w:cs="宋体"/>
          <w:b/>
          <w:spacing w:val="32"/>
          <w:position w:val="-6"/>
          <w:sz w:val="32"/>
          <w:szCs w:val="32"/>
        </w:rPr>
        <w:t>月</w:t>
      </w:r>
    </w:p>
    <w:p w14:paraId="5238083F">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39F2908">
      <w:pPr>
        <w:pageBreakBefore/>
        <w:rPr>
          <w:rFonts w:hint="eastAsia" w:ascii="宋体" w:hAnsi="宋体" w:cs="宋体"/>
          <w:b/>
          <w:spacing w:val="24"/>
          <w:position w:val="-6"/>
          <w:sz w:val="36"/>
          <w:szCs w:val="36"/>
        </w:rPr>
      </w:pPr>
    </w:p>
    <w:bookmarkEnd w:id="0"/>
    <w:p w14:paraId="05710A69">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7374D439">
      <w:pPr>
        <w:pStyle w:val="20"/>
        <w:tabs>
          <w:tab w:val="right" w:leader="dot" w:pos="8306"/>
        </w:tabs>
      </w:pPr>
      <w:r>
        <w:fldChar w:fldCharType="begin"/>
      </w:r>
      <w:r>
        <w:instrText xml:space="preserve">TOC \o "1-1" \h \u </w:instrText>
      </w:r>
      <w:r>
        <w:fldChar w:fldCharType="separate"/>
      </w:r>
      <w:r>
        <w:fldChar w:fldCharType="begin"/>
      </w:r>
      <w:r>
        <w:instrText xml:space="preserve"> HYPERLINK \l _Toc30477 </w:instrText>
      </w:r>
      <w:r>
        <w:fldChar w:fldCharType="separate"/>
      </w:r>
      <w:r>
        <w:rPr>
          <w:rFonts w:hint="eastAsia" w:ascii="宋体" w:hAnsi="宋体" w:cs="宋体"/>
          <w:kern w:val="0"/>
          <w:szCs w:val="24"/>
        </w:rPr>
        <w:t>1 总则</w:t>
      </w:r>
      <w:r>
        <w:tab/>
      </w:r>
      <w:r>
        <w:fldChar w:fldCharType="begin"/>
      </w:r>
      <w:r>
        <w:instrText xml:space="preserve"> PAGEREF _Toc30477 \h </w:instrText>
      </w:r>
      <w:r>
        <w:fldChar w:fldCharType="separate"/>
      </w:r>
      <w:r>
        <w:t>3</w:t>
      </w:r>
      <w:r>
        <w:fldChar w:fldCharType="end"/>
      </w:r>
      <w:r>
        <w:fldChar w:fldCharType="end"/>
      </w:r>
    </w:p>
    <w:p w14:paraId="0E78BFBD">
      <w:pPr>
        <w:pStyle w:val="20"/>
        <w:tabs>
          <w:tab w:val="right" w:leader="dot" w:pos="8306"/>
        </w:tabs>
      </w:pPr>
      <w:r>
        <w:fldChar w:fldCharType="begin"/>
      </w:r>
      <w:r>
        <w:instrText xml:space="preserve"> HYPERLINK \l _Toc23104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_Toc23104 \h </w:instrText>
      </w:r>
      <w:r>
        <w:fldChar w:fldCharType="separate"/>
      </w:r>
      <w:r>
        <w:t>4</w:t>
      </w:r>
      <w:r>
        <w:fldChar w:fldCharType="end"/>
      </w:r>
      <w:r>
        <w:fldChar w:fldCharType="end"/>
      </w:r>
    </w:p>
    <w:p w14:paraId="69195550">
      <w:pPr>
        <w:pStyle w:val="20"/>
        <w:tabs>
          <w:tab w:val="right" w:leader="dot" w:pos="8306"/>
        </w:tabs>
      </w:pPr>
      <w:r>
        <w:fldChar w:fldCharType="begin"/>
      </w:r>
      <w:r>
        <w:instrText xml:space="preserve"> HYPERLINK \l _Toc2325 </w:instrText>
      </w:r>
      <w:r>
        <w:fldChar w:fldCharType="separate"/>
      </w:r>
      <w:r>
        <w:rPr>
          <w:rFonts w:hint="eastAsia" w:ascii="宋体" w:hAnsi="宋体" w:eastAsia="宋体" w:cs="宋体"/>
          <w:bCs/>
          <w:kern w:val="0"/>
          <w:szCs w:val="24"/>
        </w:rPr>
        <w:t>3 工作范围</w:t>
      </w:r>
      <w:r>
        <w:tab/>
      </w:r>
      <w:r>
        <w:fldChar w:fldCharType="begin"/>
      </w:r>
      <w:r>
        <w:instrText xml:space="preserve"> PAGEREF _Toc2325 \h </w:instrText>
      </w:r>
      <w:r>
        <w:fldChar w:fldCharType="separate"/>
      </w:r>
      <w:r>
        <w:t>4</w:t>
      </w:r>
      <w:r>
        <w:fldChar w:fldCharType="end"/>
      </w:r>
      <w:r>
        <w:fldChar w:fldCharType="end"/>
      </w:r>
    </w:p>
    <w:p w14:paraId="475F9F74">
      <w:pPr>
        <w:pStyle w:val="20"/>
        <w:tabs>
          <w:tab w:val="right" w:leader="dot" w:pos="8306"/>
        </w:tabs>
      </w:pPr>
      <w:r>
        <w:fldChar w:fldCharType="begin"/>
      </w:r>
      <w:r>
        <w:instrText xml:space="preserve"> HYPERLINK \l _Toc379 </w:instrText>
      </w:r>
      <w:r>
        <w:fldChar w:fldCharType="separate"/>
      </w:r>
      <w:r>
        <w:rPr>
          <w:rFonts w:hint="eastAsia" w:ascii="宋体" w:hAnsi="宋体" w:cs="宋体"/>
          <w:kern w:val="0"/>
          <w:szCs w:val="24"/>
        </w:rPr>
        <w:t>4 引用标准</w:t>
      </w:r>
      <w:r>
        <w:tab/>
      </w:r>
      <w:r>
        <w:fldChar w:fldCharType="begin"/>
      </w:r>
      <w:r>
        <w:instrText xml:space="preserve"> PAGEREF _Toc379 \h </w:instrText>
      </w:r>
      <w:r>
        <w:fldChar w:fldCharType="separate"/>
      </w:r>
      <w:r>
        <w:t>4</w:t>
      </w:r>
      <w:r>
        <w:fldChar w:fldCharType="end"/>
      </w:r>
      <w:r>
        <w:fldChar w:fldCharType="end"/>
      </w:r>
    </w:p>
    <w:p w14:paraId="617FD9E4">
      <w:pPr>
        <w:pStyle w:val="20"/>
        <w:tabs>
          <w:tab w:val="right" w:leader="dot" w:pos="8306"/>
        </w:tabs>
      </w:pPr>
      <w:r>
        <w:fldChar w:fldCharType="begin"/>
      </w:r>
      <w:r>
        <w:instrText xml:space="preserve"> HYPERLINK \l _Toc7941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_Toc7941 \h </w:instrText>
      </w:r>
      <w:r>
        <w:fldChar w:fldCharType="separate"/>
      </w:r>
      <w:r>
        <w:t>5</w:t>
      </w:r>
      <w:r>
        <w:fldChar w:fldCharType="end"/>
      </w:r>
      <w:r>
        <w:fldChar w:fldCharType="end"/>
      </w:r>
    </w:p>
    <w:p w14:paraId="340EAD5B">
      <w:pPr>
        <w:pStyle w:val="20"/>
        <w:tabs>
          <w:tab w:val="right" w:leader="dot" w:pos="8306"/>
        </w:tabs>
      </w:pPr>
      <w:r>
        <w:fldChar w:fldCharType="begin"/>
      </w:r>
      <w:r>
        <w:instrText xml:space="preserve"> HYPERLINK \l _Toc12772 </w:instrText>
      </w:r>
      <w:r>
        <w:fldChar w:fldCharType="separate"/>
      </w:r>
      <w:r>
        <w:rPr>
          <w:rFonts w:hint="eastAsia" w:ascii="宋体" w:hAnsi="宋体" w:cs="宋体"/>
          <w:kern w:val="0"/>
          <w:szCs w:val="24"/>
        </w:rPr>
        <w:t>6 资料管理</w:t>
      </w:r>
      <w:r>
        <w:tab/>
      </w:r>
      <w:r>
        <w:fldChar w:fldCharType="begin"/>
      </w:r>
      <w:r>
        <w:instrText xml:space="preserve"> PAGEREF _Toc12772 \h </w:instrText>
      </w:r>
      <w:r>
        <w:fldChar w:fldCharType="separate"/>
      </w:r>
      <w:r>
        <w:t>6</w:t>
      </w:r>
      <w:r>
        <w:fldChar w:fldCharType="end"/>
      </w:r>
      <w:r>
        <w:fldChar w:fldCharType="end"/>
      </w:r>
    </w:p>
    <w:p w14:paraId="0BAB281E">
      <w:pPr>
        <w:pStyle w:val="20"/>
        <w:tabs>
          <w:tab w:val="right" w:leader="dot" w:pos="8306"/>
        </w:tabs>
      </w:pPr>
      <w:r>
        <w:fldChar w:fldCharType="begin"/>
      </w:r>
      <w:r>
        <w:instrText xml:space="preserve"> HYPERLINK \l _Toc30659 </w:instrText>
      </w:r>
      <w:r>
        <w:fldChar w:fldCharType="separate"/>
      </w:r>
      <w:r>
        <w:rPr>
          <w:rFonts w:hint="eastAsia" w:ascii="宋体" w:hAnsi="宋体"/>
          <w:kern w:val="0"/>
          <w:szCs w:val="24"/>
        </w:rPr>
        <w:t>7 售后服务及技术培训</w:t>
      </w:r>
      <w:r>
        <w:tab/>
      </w:r>
      <w:r>
        <w:fldChar w:fldCharType="begin"/>
      </w:r>
      <w:r>
        <w:instrText xml:space="preserve"> PAGEREF _Toc30659 \h </w:instrText>
      </w:r>
      <w:r>
        <w:fldChar w:fldCharType="separate"/>
      </w:r>
      <w:r>
        <w:t>7</w:t>
      </w:r>
      <w:r>
        <w:fldChar w:fldCharType="end"/>
      </w:r>
      <w:r>
        <w:fldChar w:fldCharType="end"/>
      </w:r>
    </w:p>
    <w:p w14:paraId="27394AC0">
      <w:pPr>
        <w:pStyle w:val="20"/>
        <w:tabs>
          <w:tab w:val="right" w:leader="dot" w:pos="8306"/>
        </w:tabs>
      </w:pPr>
      <w:r>
        <w:fldChar w:fldCharType="begin"/>
      </w:r>
      <w:r>
        <w:instrText xml:space="preserve"> HYPERLINK \l _Toc10206 </w:instrText>
      </w:r>
      <w:r>
        <w:fldChar w:fldCharType="separate"/>
      </w:r>
      <w:r>
        <w:rPr>
          <w:rFonts w:hint="eastAsia" w:ascii="宋体" w:hAnsi="宋体" w:cs="宋体"/>
          <w:kern w:val="0"/>
          <w:szCs w:val="24"/>
        </w:rPr>
        <w:t>8 质量保证</w:t>
      </w:r>
      <w:r>
        <w:tab/>
      </w:r>
      <w:r>
        <w:fldChar w:fldCharType="begin"/>
      </w:r>
      <w:r>
        <w:instrText xml:space="preserve"> PAGEREF _Toc10206 \h </w:instrText>
      </w:r>
      <w:r>
        <w:fldChar w:fldCharType="separate"/>
      </w:r>
      <w:r>
        <w:t>8</w:t>
      </w:r>
      <w:r>
        <w:fldChar w:fldCharType="end"/>
      </w:r>
      <w:r>
        <w:fldChar w:fldCharType="end"/>
      </w:r>
    </w:p>
    <w:p w14:paraId="4F31DB26">
      <w:pPr>
        <w:pStyle w:val="20"/>
        <w:tabs>
          <w:tab w:val="right" w:leader="dot" w:pos="8306"/>
        </w:tabs>
      </w:pPr>
      <w:r>
        <w:fldChar w:fldCharType="begin"/>
      </w:r>
      <w:r>
        <w:instrText xml:space="preserve"> HYPERLINK \l _Toc23256 </w:instrText>
      </w:r>
      <w:r>
        <w:fldChar w:fldCharType="separate"/>
      </w:r>
      <w:r>
        <w:rPr>
          <w:rFonts w:hint="eastAsia" w:ascii="宋体" w:hAnsi="宋体" w:cs="宋体"/>
          <w:kern w:val="0"/>
          <w:szCs w:val="24"/>
        </w:rPr>
        <w:t>9 包装、运输和贮存</w:t>
      </w:r>
      <w:r>
        <w:tab/>
      </w:r>
      <w:r>
        <w:fldChar w:fldCharType="begin"/>
      </w:r>
      <w:r>
        <w:instrText xml:space="preserve"> PAGEREF _Toc23256 \h </w:instrText>
      </w:r>
      <w:r>
        <w:fldChar w:fldCharType="separate"/>
      </w:r>
      <w:r>
        <w:t>8</w:t>
      </w:r>
      <w:r>
        <w:fldChar w:fldCharType="end"/>
      </w:r>
      <w:r>
        <w:fldChar w:fldCharType="end"/>
      </w:r>
    </w:p>
    <w:p w14:paraId="047479DF">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09375D88">
      <w:pPr>
        <w:adjustRightInd w:val="0"/>
        <w:spacing w:line="360" w:lineRule="auto"/>
        <w:textAlignment w:val="baseline"/>
      </w:pPr>
    </w:p>
    <w:p w14:paraId="7CA2105E">
      <w:pPr>
        <w:pStyle w:val="31"/>
      </w:pPr>
    </w:p>
    <w:p w14:paraId="1290EF32">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8602D11">
      <w:pPr>
        <w:pStyle w:val="4"/>
        <w:numPr>
          <w:ilvl w:val="0"/>
          <w:numId w:val="4"/>
        </w:numPr>
        <w:spacing w:before="0" w:after="0" w:line="360" w:lineRule="auto"/>
        <w:rPr>
          <w:rFonts w:hint="eastAsia" w:ascii="宋体" w:hAnsi="宋体" w:cs="宋体"/>
          <w:kern w:val="0"/>
          <w:sz w:val="24"/>
          <w:szCs w:val="24"/>
        </w:rPr>
      </w:pPr>
      <w:bookmarkStart w:id="1" w:name="_Toc30477"/>
      <w:bookmarkStart w:id="2" w:name="_Toc32270_WPSOffice_Level1"/>
      <w:bookmarkStart w:id="3" w:name="_Toc21939"/>
      <w:bookmarkStart w:id="4" w:name="_Toc27288_WPSOffice_Level1"/>
      <w:r>
        <w:rPr>
          <w:rFonts w:hint="eastAsia" w:ascii="宋体" w:hAnsi="宋体" w:cs="宋体"/>
          <w:kern w:val="0"/>
          <w:sz w:val="24"/>
          <w:szCs w:val="24"/>
        </w:rPr>
        <w:t>总则</w:t>
      </w:r>
      <w:bookmarkEnd w:id="1"/>
      <w:bookmarkEnd w:id="2"/>
      <w:bookmarkEnd w:id="3"/>
      <w:bookmarkEnd w:id="4"/>
    </w:p>
    <w:p w14:paraId="751A22D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2026年南方电网数字电网集团有限公司深圳分公司软硬件产品（堡垒机、日志审计系统、入侵防御系统）投标寻源项目</w:t>
      </w:r>
      <w:r>
        <w:rPr>
          <w:rFonts w:hint="eastAsia" w:ascii="宋体" w:hAnsi="宋体" w:cs="宋体"/>
          <w:sz w:val="24"/>
        </w:rPr>
        <w:t>。</w:t>
      </w:r>
    </w:p>
    <w:p w14:paraId="1389287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6C673A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766B2C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251BE5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0F30D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0148DEF">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433FCAF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6AB76F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40CCDF0C">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23104"/>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0CA56750">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为满足项目实施交付需求，计划采购入侵防御系统（数据库防火墙）2套。</w:t>
      </w:r>
    </w:p>
    <w:p w14:paraId="4EB37329">
      <w:pPr>
        <w:pStyle w:val="4"/>
        <w:numPr>
          <w:ilvl w:val="0"/>
          <w:numId w:val="4"/>
        </w:numPr>
        <w:spacing w:before="0" w:after="0" w:line="360" w:lineRule="auto"/>
        <w:rPr>
          <w:rFonts w:hint="eastAsia" w:ascii="宋体" w:hAnsi="宋体" w:eastAsia="宋体" w:cs="宋体"/>
          <w:b/>
          <w:bCs/>
          <w:kern w:val="0"/>
          <w:sz w:val="24"/>
          <w:szCs w:val="24"/>
        </w:rPr>
      </w:pPr>
      <w:bookmarkStart w:id="6" w:name="_Toc317689829"/>
      <w:bookmarkStart w:id="7" w:name="_Toc24890_WPSOffice_Level1"/>
      <w:bookmarkStart w:id="8" w:name="_Toc317690117"/>
      <w:bookmarkStart w:id="9" w:name="_Toc317067398"/>
      <w:bookmarkStart w:id="10" w:name="_Toc2325"/>
      <w:bookmarkStart w:id="11" w:name="_Toc3695"/>
      <w:bookmarkStart w:id="12" w:name="_Toc18031_WPSOffice_Level1"/>
      <w:r>
        <w:rPr>
          <w:rFonts w:hint="eastAsia" w:ascii="宋体" w:hAnsi="宋体" w:eastAsia="宋体" w:cs="宋体"/>
          <w:b/>
          <w:bCs/>
          <w:kern w:val="0"/>
          <w:sz w:val="24"/>
          <w:szCs w:val="24"/>
        </w:rPr>
        <w:t>工作范围</w:t>
      </w:r>
      <w:bookmarkEnd w:id="6"/>
      <w:bookmarkEnd w:id="7"/>
      <w:bookmarkEnd w:id="8"/>
      <w:bookmarkEnd w:id="9"/>
      <w:bookmarkEnd w:id="10"/>
      <w:bookmarkEnd w:id="11"/>
      <w:bookmarkEnd w:id="12"/>
    </w:p>
    <w:p w14:paraId="56DA6B5E">
      <w:pPr>
        <w:numPr>
          <w:ilvl w:val="1"/>
          <w:numId w:val="4"/>
        </w:numPr>
        <w:adjustRightInd w:val="0"/>
        <w:spacing w:line="360" w:lineRule="auto"/>
        <w:ind w:left="0" w:firstLine="0"/>
        <w:outlineLvl w:val="1"/>
        <w:rPr>
          <w:rFonts w:hint="eastAsia" w:ascii="宋体" w:hAnsi="宋体" w:cs="宋体"/>
          <w:sz w:val="24"/>
        </w:rPr>
      </w:pPr>
      <w:bookmarkStart w:id="13" w:name="_Toc317689831"/>
      <w:bookmarkStart w:id="14" w:name="_Toc317067400"/>
      <w:bookmarkStart w:id="15" w:name="_Toc317690119"/>
      <w:bookmarkStart w:id="16" w:name="_Toc18434"/>
      <w:bookmarkStart w:id="17" w:name="_Toc924_WPSOffice_Level1"/>
      <w:bookmarkStart w:id="18" w:name="_Toc8887_WPSOffice_Level1"/>
      <w:r>
        <w:rPr>
          <w:rFonts w:hint="eastAsia" w:ascii="宋体" w:hAnsi="宋体" w:cs="宋体"/>
          <w:sz w:val="24"/>
        </w:rPr>
        <w:t>服务界限</w:t>
      </w:r>
      <w:bookmarkEnd w:id="13"/>
      <w:bookmarkEnd w:id="14"/>
      <w:bookmarkEnd w:id="15"/>
    </w:p>
    <w:p w14:paraId="5BEDA072">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2C5D179F">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64C4AB9C">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1BB67699">
      <w:pPr>
        <w:pStyle w:val="4"/>
        <w:numPr>
          <w:ilvl w:val="0"/>
          <w:numId w:val="4"/>
        </w:numPr>
        <w:spacing w:before="0" w:after="0" w:line="360" w:lineRule="auto"/>
        <w:rPr>
          <w:rFonts w:hint="eastAsia" w:ascii="宋体" w:hAnsi="宋体" w:cs="宋体"/>
          <w:kern w:val="0"/>
          <w:sz w:val="24"/>
          <w:szCs w:val="24"/>
        </w:rPr>
      </w:pPr>
      <w:bookmarkStart w:id="19" w:name="_Toc379"/>
      <w:r>
        <w:rPr>
          <w:rFonts w:hint="eastAsia" w:ascii="宋体" w:hAnsi="宋体" w:cs="宋体"/>
          <w:kern w:val="0"/>
          <w:sz w:val="24"/>
          <w:szCs w:val="24"/>
        </w:rPr>
        <w:t>引用标准</w:t>
      </w:r>
      <w:bookmarkEnd w:id="16"/>
      <w:bookmarkEnd w:id="17"/>
      <w:bookmarkEnd w:id="18"/>
      <w:bookmarkEnd w:id="19"/>
    </w:p>
    <w:p w14:paraId="42C48E0C">
      <w:pPr>
        <w:spacing w:line="360" w:lineRule="auto"/>
        <w:ind w:firstLine="420"/>
        <w:rPr>
          <w:rFonts w:hint="eastAsia" w:ascii="宋体" w:hAnsi="宋体" w:cs="宋体"/>
          <w:sz w:val="24"/>
        </w:rPr>
      </w:pPr>
      <w:bookmarkStart w:id="20" w:name="FLDBZBH"/>
      <w:bookmarkEnd w:id="20"/>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353AD736">
      <w:pPr>
        <w:spacing w:line="360" w:lineRule="auto"/>
        <w:rPr>
          <w:rFonts w:hint="eastAsia" w:ascii="宋体" w:hAnsi="宋体" w:cs="宋体"/>
          <w:sz w:val="24"/>
        </w:rPr>
      </w:pPr>
      <w:r>
        <w:rPr>
          <w:rFonts w:hint="eastAsia" w:ascii="宋体" w:hAnsi="宋体" w:cs="宋体"/>
          <w:sz w:val="24"/>
        </w:rPr>
        <w:t>（1）GB-------中华人民共和国国家标准</w:t>
      </w:r>
    </w:p>
    <w:p w14:paraId="20C0D26D">
      <w:pPr>
        <w:spacing w:line="360" w:lineRule="auto"/>
        <w:rPr>
          <w:rFonts w:hint="eastAsia" w:ascii="宋体" w:hAnsi="宋体" w:cs="宋体"/>
          <w:sz w:val="24"/>
        </w:rPr>
      </w:pPr>
      <w:r>
        <w:rPr>
          <w:rFonts w:hint="eastAsia" w:ascii="宋体" w:hAnsi="宋体" w:cs="宋体"/>
          <w:sz w:val="24"/>
        </w:rPr>
        <w:t>（2）DL-------中华人民共和国电力行业标准</w:t>
      </w:r>
    </w:p>
    <w:p w14:paraId="5B4753C8">
      <w:pPr>
        <w:spacing w:line="360" w:lineRule="auto"/>
        <w:rPr>
          <w:rFonts w:hint="eastAsia" w:ascii="宋体" w:hAnsi="宋体" w:cs="宋体"/>
          <w:sz w:val="24"/>
        </w:rPr>
      </w:pPr>
      <w:r>
        <w:rPr>
          <w:rFonts w:hint="eastAsia" w:ascii="宋体" w:hAnsi="宋体" w:cs="宋体"/>
          <w:sz w:val="24"/>
        </w:rPr>
        <w:t>（3）《电力二次系统安全防护规定》</w:t>
      </w:r>
    </w:p>
    <w:p w14:paraId="128848FC">
      <w:pPr>
        <w:spacing w:line="360" w:lineRule="auto"/>
        <w:rPr>
          <w:rFonts w:hint="eastAsia" w:ascii="宋体" w:hAnsi="宋体" w:cs="宋体"/>
          <w:sz w:val="24"/>
        </w:rPr>
      </w:pPr>
      <w:r>
        <w:rPr>
          <w:rFonts w:hint="eastAsia" w:ascii="宋体" w:hAnsi="宋体" w:cs="宋体"/>
          <w:sz w:val="24"/>
        </w:rPr>
        <w:t>（4）中国信息安全测评中心</w:t>
      </w:r>
    </w:p>
    <w:p w14:paraId="14C491E4">
      <w:pPr>
        <w:spacing w:line="360" w:lineRule="auto"/>
        <w:rPr>
          <w:rFonts w:hint="eastAsia" w:ascii="宋体" w:hAnsi="宋体" w:cs="宋体"/>
          <w:sz w:val="24"/>
        </w:rPr>
      </w:pPr>
      <w:r>
        <w:rPr>
          <w:rFonts w:hint="eastAsia" w:ascii="宋体" w:hAnsi="宋体" w:cs="宋体"/>
          <w:sz w:val="24"/>
        </w:rPr>
        <w:t>（5）国家保密科技测评中心</w:t>
      </w:r>
    </w:p>
    <w:p w14:paraId="2999CC97">
      <w:pPr>
        <w:spacing w:line="360" w:lineRule="auto"/>
        <w:rPr>
          <w:rFonts w:hint="eastAsia" w:ascii="宋体" w:hAnsi="宋体" w:cs="宋体"/>
          <w:sz w:val="24"/>
        </w:rPr>
      </w:pPr>
      <w:r>
        <w:rPr>
          <w:rFonts w:hint="eastAsia" w:ascii="宋体" w:hAnsi="宋体" w:cs="宋体"/>
          <w:sz w:val="24"/>
        </w:rPr>
        <w:t>（6）ISO------国际标准化组织标准</w:t>
      </w:r>
    </w:p>
    <w:p w14:paraId="7D6994DF">
      <w:pPr>
        <w:spacing w:line="360" w:lineRule="auto"/>
        <w:rPr>
          <w:rFonts w:hint="eastAsia" w:ascii="宋体" w:hAnsi="宋体" w:cs="宋体"/>
          <w:sz w:val="24"/>
        </w:rPr>
      </w:pPr>
      <w:r>
        <w:rPr>
          <w:rFonts w:hint="eastAsia" w:ascii="宋体" w:hAnsi="宋体" w:cs="宋体"/>
          <w:sz w:val="24"/>
        </w:rPr>
        <w:t>（7）IEC------国际电工委员会标准</w:t>
      </w:r>
    </w:p>
    <w:p w14:paraId="7C2AB2A1">
      <w:pPr>
        <w:spacing w:line="360" w:lineRule="auto"/>
        <w:rPr>
          <w:rFonts w:hint="eastAsia" w:ascii="宋体" w:hAnsi="宋体" w:cs="宋体"/>
          <w:sz w:val="24"/>
        </w:rPr>
      </w:pPr>
      <w:r>
        <w:rPr>
          <w:rFonts w:hint="eastAsia" w:ascii="宋体" w:hAnsi="宋体" w:cs="宋体"/>
          <w:sz w:val="24"/>
        </w:rPr>
        <w:t>（8）ITU-T----国际电信联盟标准</w:t>
      </w:r>
    </w:p>
    <w:p w14:paraId="25D2711E">
      <w:pPr>
        <w:spacing w:line="360" w:lineRule="auto"/>
        <w:rPr>
          <w:rFonts w:hint="eastAsia" w:ascii="宋体" w:hAnsi="宋体" w:cs="宋体"/>
          <w:sz w:val="24"/>
        </w:rPr>
      </w:pPr>
      <w:r>
        <w:rPr>
          <w:rFonts w:hint="eastAsia" w:ascii="宋体" w:hAnsi="宋体" w:cs="宋体"/>
          <w:sz w:val="24"/>
        </w:rPr>
        <w:t>（9）CCITT ------国际电报和电话咨询委员会</w:t>
      </w:r>
    </w:p>
    <w:p w14:paraId="498BBE1C">
      <w:pPr>
        <w:spacing w:line="360" w:lineRule="auto"/>
        <w:rPr>
          <w:rFonts w:hint="eastAsia" w:ascii="宋体" w:hAnsi="宋体" w:cs="宋体"/>
          <w:sz w:val="24"/>
        </w:rPr>
      </w:pPr>
      <w:r>
        <w:rPr>
          <w:rFonts w:hint="eastAsia" w:ascii="宋体" w:hAnsi="宋体" w:cs="宋体"/>
          <w:sz w:val="24"/>
        </w:rPr>
        <w:t>（10）ITU------国际电信联盟</w:t>
      </w:r>
    </w:p>
    <w:p w14:paraId="58EAD505">
      <w:pPr>
        <w:spacing w:line="360" w:lineRule="auto"/>
        <w:rPr>
          <w:rFonts w:hint="eastAsia" w:ascii="宋体" w:hAnsi="宋体" w:cs="宋体"/>
          <w:sz w:val="24"/>
        </w:rPr>
      </w:pPr>
      <w:r>
        <w:rPr>
          <w:rFonts w:hint="eastAsia" w:ascii="宋体" w:hAnsi="宋体" w:cs="宋体"/>
          <w:sz w:val="24"/>
        </w:rPr>
        <w:t>（11）SI------标准国际单位制</w:t>
      </w:r>
    </w:p>
    <w:p w14:paraId="0979FA55">
      <w:pPr>
        <w:spacing w:line="360" w:lineRule="auto"/>
        <w:rPr>
          <w:rFonts w:hint="eastAsia" w:ascii="宋体" w:hAnsi="宋体" w:cs="宋体"/>
          <w:sz w:val="24"/>
          <w:highlight w:val="none"/>
        </w:rPr>
      </w:pPr>
      <w:r>
        <w:rPr>
          <w:rFonts w:hint="eastAsia" w:ascii="宋体" w:hAnsi="宋体" w:cs="宋体"/>
          <w:sz w:val="24"/>
        </w:rPr>
        <w:t>（12）其它招标方指定的规约</w:t>
      </w:r>
    </w:p>
    <w:p w14:paraId="2760E4C5">
      <w:pPr>
        <w:pStyle w:val="4"/>
        <w:numPr>
          <w:ilvl w:val="0"/>
          <w:numId w:val="4"/>
        </w:numPr>
        <w:spacing w:before="0" w:after="0" w:line="360" w:lineRule="auto"/>
        <w:rPr>
          <w:rFonts w:hint="eastAsia" w:ascii="宋体" w:hAnsi="宋体" w:cs="宋体"/>
          <w:kern w:val="0"/>
          <w:sz w:val="24"/>
          <w:szCs w:val="24"/>
          <w:highlight w:val="none"/>
        </w:rPr>
      </w:pPr>
      <w:bookmarkStart w:id="21" w:name="_Toc7941"/>
      <w:bookmarkStart w:id="22" w:name="_Toc6702_WPSOffice_Level1"/>
      <w:bookmarkStart w:id="23" w:name="_Toc20131"/>
      <w:bookmarkStart w:id="24" w:name="_Toc24881_WPSOffice_Level1"/>
      <w:r>
        <w:rPr>
          <w:rFonts w:hint="eastAsia" w:ascii="宋体" w:hAnsi="宋体" w:cs="宋体"/>
          <w:kern w:val="0"/>
          <w:sz w:val="24"/>
          <w:szCs w:val="24"/>
          <w:highlight w:val="none"/>
        </w:rPr>
        <w:t>技术要求</w:t>
      </w:r>
      <w:bookmarkEnd w:id="21"/>
      <w:bookmarkEnd w:id="22"/>
      <w:bookmarkEnd w:id="23"/>
      <w:bookmarkEnd w:id="24"/>
    </w:p>
    <w:p w14:paraId="15391E4E">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。如优于指标要求需提供证明</w:t>
      </w:r>
      <w:r>
        <w:rPr>
          <w:rFonts w:hint="eastAsia" w:ascii="宋体" w:hAnsi="宋体" w:eastAsia="宋体" w:cs="宋体"/>
          <w:b w:val="0"/>
          <w:bCs w:val="0"/>
          <w:color w:val="auto"/>
          <w:kern w:val="0"/>
          <w:sz w:val="24"/>
          <w:szCs w:val="24"/>
          <w:lang w:val="en-US" w:eastAsia="zh-CN"/>
        </w:rPr>
        <w:t>材料并加盖公章。</w:t>
      </w:r>
    </w:p>
    <w:p w14:paraId="28212BE5">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293CC191">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w:t>
      </w:r>
      <w:r>
        <w:rPr>
          <w:rFonts w:hint="eastAsia" w:cs="宋体"/>
          <w:b w:val="0"/>
          <w:bCs w:val="0"/>
          <w:color w:val="auto"/>
          <w:kern w:val="0"/>
          <w:sz w:val="24"/>
          <w:szCs w:val="24"/>
          <w:lang w:val="en-US" w:eastAsia="zh-CN"/>
        </w:rPr>
        <w:t>报价人</w:t>
      </w:r>
      <w:r>
        <w:rPr>
          <w:rFonts w:hint="eastAsia" w:ascii="宋体" w:hAnsi="宋体" w:eastAsia="宋体" w:cs="宋体"/>
          <w:b w:val="0"/>
          <w:bCs w:val="0"/>
          <w:color w:val="auto"/>
          <w:kern w:val="0"/>
          <w:sz w:val="24"/>
          <w:szCs w:val="24"/>
          <w:lang w:val="en-US" w:eastAsia="zh-CN"/>
        </w:rPr>
        <w:t>承担所投产品的集成与测评费用，提供承诺函。</w:t>
      </w:r>
    </w:p>
    <w:p w14:paraId="67562A69">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060564BE">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29ACB3E6">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5.1.1入侵防御系统（数据库防火墙）</w:t>
      </w:r>
      <w:r>
        <w:rPr>
          <w:rFonts w:hint="eastAsia" w:ascii="宋体" w:hAnsi="宋体" w:eastAsia="宋体" w:cs="宋体"/>
          <w:b/>
          <w:bCs/>
          <w:sz w:val="24"/>
          <w:szCs w:val="24"/>
        </w:rPr>
        <w:t>（</w:t>
      </w:r>
      <w:r>
        <w:rPr>
          <w:rFonts w:hint="eastAsia" w:ascii="宋体" w:hAnsi="宋体" w:cs="宋体"/>
          <w:b/>
          <w:bCs/>
          <w:sz w:val="24"/>
          <w:szCs w:val="24"/>
          <w:lang w:val="en-US" w:eastAsia="zh-CN"/>
        </w:rPr>
        <w:t>2套</w:t>
      </w:r>
      <w:r>
        <w:rPr>
          <w:rFonts w:hint="eastAsia" w:ascii="宋体" w:hAnsi="宋体" w:eastAsia="宋体" w:cs="宋体"/>
          <w:b/>
          <w:bCs/>
          <w:sz w:val="24"/>
          <w:szCs w:val="24"/>
        </w:rPr>
        <w:t>）</w:t>
      </w:r>
    </w:p>
    <w:tbl>
      <w:tblPr>
        <w:tblStyle w:val="24"/>
        <w:tblpPr w:leftFromText="180" w:rightFromText="180" w:vertAnchor="text" w:tblpY="1"/>
        <w:tblOverlap w:val="never"/>
        <w:tblW w:w="48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7635"/>
      </w:tblGrid>
      <w:tr w14:paraId="640F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shd w:val="clear" w:color="auto" w:fill="D9D9D9"/>
            <w:noWrap w:val="0"/>
            <w:vAlign w:val="center"/>
          </w:tcPr>
          <w:p w14:paraId="60F1006D">
            <w:pPr>
              <w:pStyle w:val="65"/>
              <w:rPr>
                <w:rFonts w:hint="eastAsia" w:ascii="宋体" w:hAnsi="宋体" w:eastAsia="宋体" w:cs="宋体"/>
                <w:szCs w:val="24"/>
                <w:highlight w:val="none"/>
              </w:rPr>
            </w:pPr>
            <w:r>
              <w:rPr>
                <w:rFonts w:hint="eastAsia" w:ascii="宋体" w:hAnsi="宋体" w:eastAsia="宋体" w:cs="宋体"/>
                <w:szCs w:val="24"/>
                <w:highlight w:val="none"/>
              </w:rPr>
              <w:t>指标项</w:t>
            </w:r>
          </w:p>
        </w:tc>
        <w:tc>
          <w:tcPr>
            <w:tcW w:w="4101" w:type="pct"/>
            <w:shd w:val="clear" w:color="auto" w:fill="D9D9D9"/>
            <w:noWrap w:val="0"/>
            <w:vAlign w:val="center"/>
          </w:tcPr>
          <w:p w14:paraId="3AA648D3">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2400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013E81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★硬件规格</w:t>
            </w:r>
          </w:p>
        </w:tc>
        <w:tc>
          <w:tcPr>
            <w:tcW w:w="4101" w:type="pct"/>
            <w:noWrap w:val="0"/>
            <w:vAlign w:val="top"/>
          </w:tcPr>
          <w:p w14:paraId="053EB69E">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标准机架式设备 </w:t>
            </w:r>
          </w:p>
          <w:p w14:paraId="1BD456CF">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CPU：数量≥2，单颗核心数≥16,主频≥2.3Ghz </w:t>
            </w:r>
          </w:p>
          <w:p w14:paraId="642A5759">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内存：≥64GB </w:t>
            </w:r>
          </w:p>
          <w:p w14:paraId="7026C9EC">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硬盘：≥2 块 8TB，支持 RAID1 模式 </w:t>
            </w:r>
          </w:p>
          <w:p w14:paraId="34BECF9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电源：冗余双电源 </w:t>
            </w:r>
          </w:p>
          <w:p w14:paraId="4253212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网口：万兆光口≥4 个，千兆接口≥8 个 </w:t>
            </w:r>
          </w:p>
          <w:p w14:paraId="7DE0C55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管理网口：提供管理接口和 HA 接口</w:t>
            </w:r>
          </w:p>
        </w:tc>
      </w:tr>
      <w:tr w14:paraId="0119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8" w:type="pct"/>
            <w:noWrap w:val="0"/>
            <w:vAlign w:val="center"/>
          </w:tcPr>
          <w:p w14:paraId="3C34A7FE">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性能要求</w:t>
            </w:r>
          </w:p>
        </w:tc>
        <w:tc>
          <w:tcPr>
            <w:tcW w:w="4101" w:type="pct"/>
            <w:noWrap w:val="0"/>
            <w:vAlign w:val="top"/>
          </w:tcPr>
          <w:p w14:paraId="0AD4198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网络吞吐量≥5Gbps；并发数据库连接数≥5000 个；并发数据库流量≥1Gbps； </w:t>
            </w:r>
          </w:p>
          <w:p w14:paraId="77FA1E41">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数据峰值处理能力≥30000QPS；数据库实例数无限制</w:t>
            </w:r>
          </w:p>
        </w:tc>
      </w:tr>
      <w:tr w14:paraId="7681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98" w:type="pct"/>
            <w:noWrap w:val="0"/>
            <w:vAlign w:val="center"/>
          </w:tcPr>
          <w:p w14:paraId="106B25AC">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资质</w:t>
            </w:r>
          </w:p>
        </w:tc>
        <w:tc>
          <w:tcPr>
            <w:tcW w:w="4101" w:type="pct"/>
            <w:noWrap w:val="0"/>
            <w:vAlign w:val="center"/>
          </w:tcPr>
          <w:p w14:paraId="17F3B1C8">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★产品应具备《网络安全专用产品安全检测证书》</w:t>
            </w:r>
          </w:p>
        </w:tc>
      </w:tr>
      <w:tr w14:paraId="01F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3A93D9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部署模式</w:t>
            </w:r>
          </w:p>
        </w:tc>
        <w:tc>
          <w:tcPr>
            <w:tcW w:w="4101" w:type="pct"/>
            <w:noWrap w:val="0"/>
            <w:vAlign w:val="center"/>
          </w:tcPr>
          <w:p w14:paraId="237E84D5">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为适应各种复杂的部署环境，产品部署模式上应满足以下的要求： </w:t>
            </w:r>
          </w:p>
          <w:p w14:paraId="7113E588">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1. 支持透明串联部署，支持硬件 bypass </w:t>
            </w:r>
          </w:p>
          <w:p w14:paraId="4929FA0D">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2. 支持反向代理方式部署，反向代理部署支持 IPV6，支持 HA，HA 模式下支持策略实时或定期同步 </w:t>
            </w:r>
          </w:p>
          <w:p w14:paraId="45BCDF57">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3. 支持旁路阻断部署 </w:t>
            </w:r>
          </w:p>
          <w:p w14:paraId="3F34641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4. 支持集群部署（需提供产品功能截图）</w:t>
            </w:r>
          </w:p>
        </w:tc>
      </w:tr>
      <w:tr w14:paraId="544B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C94B80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支持数据库</w:t>
            </w:r>
          </w:p>
        </w:tc>
        <w:tc>
          <w:tcPr>
            <w:tcW w:w="4101" w:type="pct"/>
            <w:noWrap w:val="0"/>
            <w:vAlign w:val="center"/>
          </w:tcPr>
          <w:p w14:paraId="4220A62F">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至少支持 Oracle、MySQL、达梦、GauseDB、人大金仓数据库（需提供产品功能截图）</w:t>
            </w:r>
          </w:p>
        </w:tc>
      </w:tr>
      <w:tr w14:paraId="0C02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62A97AA6">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数据源扫描</w:t>
            </w:r>
          </w:p>
        </w:tc>
        <w:tc>
          <w:tcPr>
            <w:tcW w:w="4101" w:type="pct"/>
            <w:noWrap w:val="0"/>
            <w:vAlign w:val="center"/>
          </w:tcPr>
          <w:p w14:paraId="3D70CBB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支持新建数据源扫描任务自动发现数据源，可以定时扫描。</w:t>
            </w:r>
          </w:p>
        </w:tc>
      </w:tr>
      <w:tr w14:paraId="1CF4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68A5454B">
            <w:pPr>
              <w:keepNext w:val="0"/>
              <w:keepLines w:val="0"/>
              <w:widowControl/>
              <w:suppressLineNumbers w:val="0"/>
              <w:jc w:val="left"/>
            </w:pPr>
            <w:r>
              <w:rPr>
                <w:rFonts w:ascii="宋体" w:hAnsi="宋体" w:eastAsia="宋体" w:cs="宋体"/>
                <w:color w:val="000000"/>
                <w:kern w:val="0"/>
                <w:sz w:val="20"/>
                <w:szCs w:val="20"/>
                <w:lang w:val="en-US" w:eastAsia="zh-CN" w:bidi="ar"/>
              </w:rPr>
              <w:t>总览展示与告警</w:t>
            </w:r>
          </w:p>
          <w:p w14:paraId="440D3D44">
            <w:pPr>
              <w:keepNext w:val="0"/>
              <w:keepLines w:val="0"/>
              <w:widowControl/>
              <w:suppressLineNumbers w:val="0"/>
              <w:jc w:val="left"/>
              <w:rPr>
                <w:rFonts w:hint="eastAsia" w:ascii="宋体" w:hAnsi="宋体" w:eastAsia="宋体" w:cs="Times New Roman"/>
                <w:sz w:val="21"/>
                <w:szCs w:val="21"/>
                <w:highlight w:val="none"/>
                <w:lang w:val="en-US" w:eastAsia="zh-CN"/>
              </w:rPr>
            </w:pPr>
          </w:p>
        </w:tc>
        <w:tc>
          <w:tcPr>
            <w:tcW w:w="4101" w:type="pct"/>
            <w:noWrap w:val="0"/>
            <w:vAlign w:val="center"/>
          </w:tcPr>
          <w:p w14:paraId="3B7CAAD1">
            <w:pPr>
              <w:keepNext w:val="0"/>
              <w:keepLines w:val="0"/>
              <w:widowControl/>
              <w:suppressLineNumbers w:val="0"/>
              <w:jc w:val="left"/>
            </w:pPr>
            <w:r>
              <w:rPr>
                <w:rFonts w:ascii="宋体" w:hAnsi="宋体" w:eastAsia="宋体" w:cs="宋体"/>
                <w:color w:val="000000"/>
                <w:kern w:val="0"/>
                <w:sz w:val="20"/>
                <w:szCs w:val="20"/>
                <w:lang w:val="en-US" w:eastAsia="zh-CN" w:bidi="ar"/>
              </w:rPr>
              <w:t>展示各个资产的访问控制情况、攻击防护情况、数据脱敏情况、设备运行情况支持风险告警查询，查询条件至少包含 8 种，可包括但不限于：账号、数据库名、客户端工具、操作系统用户名、客户端 IP、操作类型、SQL 关键字、执行结果、影响行数、执行时长等字段。</w:t>
            </w:r>
          </w:p>
          <w:p w14:paraId="55B8F0C2">
            <w:pPr>
              <w:keepNext w:val="0"/>
              <w:keepLines w:val="0"/>
              <w:widowControl/>
              <w:suppressLineNumbers w:val="0"/>
              <w:jc w:val="left"/>
              <w:rPr>
                <w:rFonts w:hint="eastAsia" w:ascii="宋体" w:hAnsi="宋体" w:eastAsia="宋体" w:cs="Times New Roman"/>
                <w:sz w:val="21"/>
                <w:szCs w:val="21"/>
                <w:highlight w:val="none"/>
                <w:lang w:val="en-US" w:eastAsia="zh-CN"/>
              </w:rPr>
            </w:pPr>
          </w:p>
        </w:tc>
      </w:tr>
      <w:tr w14:paraId="61C6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0DE8FBD6">
            <w:pPr>
              <w:keepNext w:val="0"/>
              <w:keepLines w:val="0"/>
              <w:widowControl/>
              <w:suppressLineNumbers w:val="0"/>
              <w:jc w:val="left"/>
            </w:pPr>
            <w:r>
              <w:rPr>
                <w:rFonts w:ascii="宋体" w:hAnsi="宋体" w:eastAsia="宋体" w:cs="宋体"/>
                <w:color w:val="000000"/>
                <w:kern w:val="0"/>
                <w:sz w:val="20"/>
                <w:szCs w:val="20"/>
                <w:lang w:val="en-US" w:eastAsia="zh-CN" w:bidi="ar"/>
              </w:rPr>
              <w:t>敏感数据扫描</w:t>
            </w:r>
          </w:p>
          <w:p w14:paraId="1C990C1A">
            <w:pPr>
              <w:keepNext w:val="0"/>
              <w:keepLines w:val="0"/>
              <w:widowControl/>
              <w:suppressLineNumbers w:val="0"/>
              <w:jc w:val="left"/>
              <w:rPr>
                <w:rFonts w:hint="eastAsia" w:ascii="宋体" w:hAnsi="宋体" w:eastAsia="宋体" w:cs="Times New Roman"/>
                <w:sz w:val="21"/>
                <w:szCs w:val="21"/>
                <w:highlight w:val="none"/>
                <w:lang w:val="en-US" w:eastAsia="zh-CN"/>
              </w:rPr>
            </w:pPr>
          </w:p>
        </w:tc>
        <w:tc>
          <w:tcPr>
            <w:tcW w:w="4101" w:type="pct"/>
            <w:noWrap w:val="0"/>
            <w:vAlign w:val="center"/>
          </w:tcPr>
          <w:p w14:paraId="75EC8769">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支持扫描发现不少于 8 种敏感信息，可包括但不限于：身份证、银行卡、手机号、座机号、护照号、车牌号、MAC 地址、日期、时间、邮箱等。支持自定义敏感数据扫描规则。</w:t>
            </w:r>
          </w:p>
        </w:tc>
      </w:tr>
      <w:tr w14:paraId="5790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98" w:type="pct"/>
            <w:noWrap w:val="0"/>
            <w:vAlign w:val="center"/>
          </w:tcPr>
          <w:p w14:paraId="6006B346">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访问控制</w:t>
            </w:r>
          </w:p>
        </w:tc>
        <w:tc>
          <w:tcPr>
            <w:tcW w:w="4101" w:type="pct"/>
            <w:noWrap w:val="0"/>
            <w:vAlign w:val="center"/>
          </w:tcPr>
          <w:p w14:paraId="5A625949">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至少支持 8 种数据来源筛选管控，可包括但不限于：IP、客户端主机名、操作系统用户名、客户端工具名、数据库账号、密码桥账号、数据库名、对象组、操作类型、SQL 关键字、SQL 长度、执行时长、影响行数、返回结果集等。（需提供产品截图） </w:t>
            </w:r>
          </w:p>
          <w:p w14:paraId="0BF8BD7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支持多种越权阻断动作，如：动态脱敏、命令阻断、会话阻断。（需提供产品截图）</w:t>
            </w:r>
          </w:p>
        </w:tc>
      </w:tr>
      <w:tr w14:paraId="0D52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7F38859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安全防护能力</w:t>
            </w:r>
          </w:p>
        </w:tc>
        <w:tc>
          <w:tcPr>
            <w:tcW w:w="4101" w:type="pct"/>
            <w:noWrap w:val="0"/>
            <w:vAlign w:val="center"/>
          </w:tcPr>
          <w:p w14:paraId="4D9AFF7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内置的特征策略包含缓冲区溢出、SQL 注入、提权等常见攻击特征，内置多种数据库安全规则（需提供产品截图） </w:t>
            </w:r>
          </w:p>
          <w:p w14:paraId="6A164DC0">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自定义规则支持根据账号、数据库名、客户端工具、操作系统用户名、客户端IP、操作类型、SQL 关键字等制定防护策略。（需提供产品截图） </w:t>
            </w:r>
          </w:p>
          <w:p w14:paraId="72145D1C">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支持数据库“隐身”，使黑客无法通过常用手段扫描数据库漏洞，从而达到保护数据库的目的。支持主流漏洞扫描器防护，如：绿盟、安恒等。 </w:t>
            </w:r>
          </w:p>
          <w:p w14:paraId="61311FE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 IP 组、操作系统用户名组、客户端主机名组、客户端工具名组、数据库账号组、时间组和对象组的分组管理</w:t>
            </w:r>
          </w:p>
        </w:tc>
      </w:tr>
      <w:tr w14:paraId="212EB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DE713DB">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日志发送</w:t>
            </w:r>
          </w:p>
        </w:tc>
        <w:tc>
          <w:tcPr>
            <w:tcW w:w="4101" w:type="pct"/>
            <w:noWrap w:val="0"/>
            <w:vAlign w:val="center"/>
          </w:tcPr>
          <w:p w14:paraId="2B1E9457">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支持通过 syslog、kafka 协议发送系统日志</w:t>
            </w:r>
          </w:p>
        </w:tc>
      </w:tr>
      <w:tr w14:paraId="1311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23CAA56B">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日志存储</w:t>
            </w:r>
          </w:p>
        </w:tc>
        <w:tc>
          <w:tcPr>
            <w:tcW w:w="4101" w:type="pct"/>
            <w:noWrap w:val="0"/>
            <w:vAlign w:val="center"/>
          </w:tcPr>
          <w:p w14:paraId="09644190">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本地存储的系统日志至少能够保留 6 个月</w:t>
            </w:r>
          </w:p>
        </w:tc>
      </w:tr>
      <w:tr w14:paraId="02CCD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0BF4716B">
            <w:pPr>
              <w:keepNext w:val="0"/>
              <w:keepLines w:val="0"/>
              <w:widowControl/>
              <w:suppressLineNumbers w:val="0"/>
              <w:jc w:val="left"/>
              <w:rPr>
                <w:rFonts w:ascii="宋体" w:hAnsi="宋体" w:eastAsia="宋体" w:cs="宋体"/>
                <w:color w:val="000000"/>
                <w:kern w:val="0"/>
                <w:sz w:val="20"/>
                <w:szCs w:val="20"/>
                <w:lang w:val="en-US" w:eastAsia="zh-CN" w:bidi="ar"/>
              </w:rPr>
            </w:pPr>
            <w:r>
              <w:rPr>
                <w:rFonts w:ascii="宋体" w:hAnsi="宋体" w:eastAsia="宋体" w:cs="宋体"/>
                <w:color w:val="000000"/>
                <w:kern w:val="0"/>
                <w:sz w:val="20"/>
                <w:szCs w:val="20"/>
                <w:lang w:val="en-US" w:eastAsia="zh-CN" w:bidi="ar"/>
              </w:rPr>
              <w:t>SNMP 支持</w:t>
            </w:r>
          </w:p>
        </w:tc>
        <w:tc>
          <w:tcPr>
            <w:tcW w:w="4101" w:type="pct"/>
            <w:noWrap w:val="0"/>
            <w:vAlign w:val="center"/>
          </w:tcPr>
          <w:p w14:paraId="6FD1BA1F">
            <w:pPr>
              <w:keepNext w:val="0"/>
              <w:keepLines w:val="0"/>
              <w:widowControl/>
              <w:suppressLineNumbers w:val="0"/>
              <w:jc w:val="left"/>
              <w:rPr>
                <w:rFonts w:ascii="宋体" w:hAnsi="宋体" w:eastAsia="宋体" w:cs="宋体"/>
                <w:color w:val="000000"/>
                <w:kern w:val="0"/>
                <w:sz w:val="20"/>
                <w:szCs w:val="20"/>
                <w:lang w:val="en-US" w:eastAsia="zh-CN" w:bidi="ar"/>
              </w:rPr>
            </w:pPr>
            <w:r>
              <w:rPr>
                <w:rFonts w:ascii="宋体" w:hAnsi="宋体" w:eastAsia="宋体" w:cs="宋体"/>
                <w:color w:val="000000"/>
                <w:kern w:val="0"/>
                <w:sz w:val="20"/>
                <w:szCs w:val="20"/>
                <w:lang w:val="en-US" w:eastAsia="zh-CN" w:bidi="ar"/>
              </w:rPr>
              <w:t>支持 SNMP V2、V3 版本协议以接入第三方监控系统</w:t>
            </w:r>
          </w:p>
        </w:tc>
      </w:tr>
      <w:tr w14:paraId="73BB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1132328">
            <w:pPr>
              <w:keepNext w:val="0"/>
              <w:keepLines w:val="0"/>
              <w:widowControl/>
              <w:suppressLineNumbers w:val="0"/>
              <w:jc w:val="left"/>
              <w:rPr>
                <w:rFonts w:hint="eastAsia" w:ascii="宋体" w:hAnsi="宋体" w:eastAsia="宋体" w:cs="宋体"/>
                <w:color w:val="000000"/>
                <w:kern w:val="0"/>
                <w:sz w:val="20"/>
                <w:szCs w:val="20"/>
                <w:lang w:val="en-US" w:eastAsia="zh-CN" w:bidi="ar"/>
              </w:rPr>
            </w:pPr>
            <w:bookmarkStart w:id="72" w:name="_GoBack" w:colFirst="0" w:colLast="1"/>
            <w:r>
              <w:rPr>
                <w:rFonts w:hint="eastAsia" w:ascii="宋体" w:hAnsi="宋体" w:eastAsia="宋体" w:cs="宋体"/>
                <w:color w:val="000000"/>
                <w:kern w:val="0"/>
                <w:sz w:val="20"/>
                <w:szCs w:val="20"/>
                <w:lang w:val="en-US" w:eastAsia="zh-CN" w:bidi="ar"/>
              </w:rPr>
              <w:t>★自主可控要求</w:t>
            </w:r>
          </w:p>
        </w:tc>
        <w:tc>
          <w:tcPr>
            <w:tcW w:w="4101" w:type="pct"/>
            <w:noWrap w:val="0"/>
            <w:vAlign w:val="center"/>
          </w:tcPr>
          <w:p w14:paraId="5D044A1A">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1.该设备涉及的主要芯片产品（CPU、SSD、DRAM、BMC、网卡芯片、电流模块控制芯片）需要满足自主可控要求。</w:t>
            </w:r>
          </w:p>
          <w:p w14:paraId="5775A0B8">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2.CPU需要通过国家安全可靠测评。</w:t>
            </w:r>
          </w:p>
          <w:p w14:paraId="1FD5E2D9">
            <w:pPr>
              <w:keepNext w:val="0"/>
              <w:keepLines w:val="0"/>
              <w:widowControl/>
              <w:suppressLineNumbers w:val="0"/>
              <w:jc w:val="left"/>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3.嵌入式操作系统需要满足自主可控要求。</w:t>
            </w:r>
          </w:p>
          <w:p w14:paraId="3BFC5C7B">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4.原厂需就以上要求提供自主可控承诺函并加盖原厂公章。</w:t>
            </w:r>
          </w:p>
        </w:tc>
      </w:tr>
      <w:bookmarkEnd w:id="72"/>
    </w:tbl>
    <w:p w14:paraId="0C8AA4E4">
      <w:pPr>
        <w:pStyle w:val="4"/>
        <w:numPr>
          <w:ilvl w:val="0"/>
          <w:numId w:val="4"/>
        </w:numPr>
        <w:spacing w:before="0" w:after="0" w:line="360" w:lineRule="auto"/>
        <w:rPr>
          <w:rFonts w:hint="eastAsia" w:ascii="宋体" w:hAnsi="宋体" w:cs="宋体"/>
          <w:kern w:val="0"/>
          <w:sz w:val="24"/>
          <w:szCs w:val="24"/>
        </w:rPr>
      </w:pPr>
      <w:bookmarkStart w:id="25" w:name="_Toc221610060"/>
      <w:bookmarkEnd w:id="25"/>
      <w:bookmarkStart w:id="26" w:name="_Toc221619634"/>
      <w:bookmarkEnd w:id="26"/>
      <w:bookmarkStart w:id="27" w:name="_Toc221610058"/>
      <w:bookmarkEnd w:id="27"/>
      <w:bookmarkStart w:id="28" w:name="_Toc221617188"/>
      <w:bookmarkEnd w:id="28"/>
      <w:bookmarkStart w:id="29" w:name="_Toc221617189"/>
      <w:bookmarkEnd w:id="29"/>
      <w:bookmarkStart w:id="30" w:name="_Toc221619632"/>
      <w:bookmarkEnd w:id="30"/>
      <w:bookmarkStart w:id="31" w:name="_Toc221619631"/>
      <w:bookmarkEnd w:id="31"/>
      <w:bookmarkStart w:id="32" w:name="_Toc221619633"/>
      <w:bookmarkEnd w:id="32"/>
      <w:bookmarkStart w:id="33" w:name="_Toc221610057"/>
      <w:bookmarkEnd w:id="33"/>
      <w:bookmarkStart w:id="34" w:name="_Toc221617186"/>
      <w:bookmarkEnd w:id="34"/>
      <w:bookmarkStart w:id="35" w:name="_Toc221610059"/>
      <w:bookmarkEnd w:id="35"/>
      <w:bookmarkStart w:id="36" w:name="_Toc221617187"/>
      <w:bookmarkEnd w:id="36"/>
      <w:bookmarkStart w:id="37" w:name="_Toc4389_WPSOffice_Level1"/>
      <w:bookmarkStart w:id="38" w:name="_Toc12772"/>
      <w:bookmarkStart w:id="39" w:name="_Toc27549_WPSOffice_Level1"/>
      <w:bookmarkStart w:id="40" w:name="_Toc15293"/>
      <w:r>
        <w:rPr>
          <w:rFonts w:hint="eastAsia" w:ascii="宋体" w:hAnsi="宋体" w:cs="宋体"/>
          <w:kern w:val="0"/>
          <w:sz w:val="24"/>
          <w:szCs w:val="24"/>
        </w:rPr>
        <w:t>资料管理</w:t>
      </w:r>
      <w:bookmarkEnd w:id="37"/>
      <w:bookmarkEnd w:id="38"/>
      <w:bookmarkEnd w:id="39"/>
      <w:bookmarkEnd w:id="40"/>
    </w:p>
    <w:p w14:paraId="5E6AF044">
      <w:pPr>
        <w:numPr>
          <w:ilvl w:val="1"/>
          <w:numId w:val="4"/>
        </w:numPr>
        <w:adjustRightInd w:val="0"/>
        <w:spacing w:line="360" w:lineRule="auto"/>
        <w:ind w:left="0" w:firstLine="0"/>
        <w:outlineLvl w:val="1"/>
        <w:rPr>
          <w:rFonts w:hint="eastAsia" w:ascii="宋体" w:hAnsi="宋体" w:cs="宋体"/>
          <w:sz w:val="24"/>
        </w:rPr>
      </w:pPr>
      <w:bookmarkStart w:id="41" w:name="_Toc270322069"/>
      <w:r>
        <w:rPr>
          <w:rFonts w:hint="eastAsia" w:ascii="宋体" w:hAnsi="宋体" w:cs="宋体"/>
          <w:sz w:val="24"/>
        </w:rPr>
        <w:t>文档范围</w:t>
      </w:r>
      <w:bookmarkEnd w:id="41"/>
    </w:p>
    <w:p w14:paraId="6D49DFBD">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w:t>
      </w:r>
      <w:r>
        <w:rPr>
          <w:rFonts w:hint="eastAsia" w:ascii="宋体" w:hAnsi="宋体" w:cs="宋体"/>
          <w:b w:val="0"/>
          <w:bCs w:val="0"/>
          <w:spacing w:val="0"/>
          <w:kern w:val="2"/>
          <w:sz w:val="24"/>
          <w:szCs w:val="24"/>
          <w:lang w:val="en-US" w:eastAsia="zh-CN" w:bidi="ar-SA"/>
        </w:rPr>
        <w:t>报价人</w:t>
      </w:r>
      <w:r>
        <w:rPr>
          <w:rFonts w:hint="eastAsia" w:ascii="宋体" w:hAnsi="宋体" w:eastAsia="宋体" w:cs="宋体"/>
          <w:b w:val="0"/>
          <w:bCs w:val="0"/>
          <w:spacing w:val="0"/>
          <w:kern w:val="2"/>
          <w:sz w:val="24"/>
          <w:szCs w:val="24"/>
          <w:lang w:val="en-US" w:eastAsia="zh-CN" w:bidi="ar-SA"/>
        </w:rPr>
        <w:t>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092DC2C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0C9511B">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833F75">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DE64B70">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87FFEB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1B6E8C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939E2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7BD7010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322CF0A">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B9D0C9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C77E6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6C9AA1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B4EDF2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3E1F22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B869D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C02D1F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DBB8ED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42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11F0B8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E786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E5E81D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8970B9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D668A8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1EF87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23000C0C">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6F6DEC16">
      <w:pPr>
        <w:numPr>
          <w:ilvl w:val="1"/>
          <w:numId w:val="4"/>
        </w:numPr>
        <w:adjustRightInd w:val="0"/>
        <w:spacing w:line="360" w:lineRule="auto"/>
        <w:ind w:left="0" w:firstLine="0"/>
        <w:outlineLvl w:val="1"/>
        <w:rPr>
          <w:rFonts w:hint="eastAsia" w:ascii="宋体" w:hAnsi="宋体" w:cs="宋体"/>
          <w:sz w:val="24"/>
        </w:rPr>
      </w:pPr>
      <w:bookmarkStart w:id="42" w:name="_Toc270322070"/>
      <w:r>
        <w:rPr>
          <w:rFonts w:hint="eastAsia" w:ascii="宋体" w:hAnsi="宋体" w:cs="宋体"/>
          <w:sz w:val="24"/>
          <w:lang w:eastAsia="zh-CN"/>
        </w:rPr>
        <w:t>报价人</w:t>
      </w:r>
      <w:r>
        <w:rPr>
          <w:rFonts w:hint="eastAsia" w:ascii="宋体" w:hAnsi="宋体" w:cs="宋体"/>
          <w:sz w:val="24"/>
        </w:rPr>
        <w:t>的责任</w:t>
      </w:r>
      <w:bookmarkEnd w:id="42"/>
    </w:p>
    <w:p w14:paraId="15C40BAA">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321AACCA">
      <w:pPr>
        <w:pStyle w:val="4"/>
        <w:numPr>
          <w:ilvl w:val="0"/>
          <w:numId w:val="4"/>
        </w:numPr>
        <w:spacing w:before="0" w:after="0" w:line="360" w:lineRule="auto"/>
        <w:rPr>
          <w:rFonts w:hint="eastAsia" w:ascii="宋体" w:hAnsi="宋体"/>
          <w:kern w:val="0"/>
          <w:sz w:val="24"/>
          <w:szCs w:val="24"/>
        </w:rPr>
      </w:pPr>
      <w:bookmarkStart w:id="43" w:name="_Toc30659"/>
      <w:bookmarkStart w:id="44" w:name="_Toc58225921"/>
      <w:bookmarkStart w:id="45" w:name="_Toc27007"/>
      <w:bookmarkStart w:id="46" w:name="_Toc8849_WPSOffice_Level1"/>
      <w:bookmarkStart w:id="47" w:name="_Toc27515"/>
      <w:bookmarkStart w:id="48" w:name="_Toc31121_WPSOffice_Level1"/>
      <w:bookmarkStart w:id="49" w:name="_Toc187218714"/>
      <w:r>
        <w:rPr>
          <w:rFonts w:hint="eastAsia" w:ascii="宋体" w:hAnsi="宋体"/>
          <w:kern w:val="0"/>
          <w:sz w:val="24"/>
          <w:szCs w:val="24"/>
        </w:rPr>
        <w:t>售后服务及技术培训</w:t>
      </w:r>
      <w:bookmarkEnd w:id="43"/>
      <w:bookmarkEnd w:id="44"/>
      <w:bookmarkEnd w:id="45"/>
      <w:bookmarkEnd w:id="46"/>
      <w:bookmarkEnd w:id="47"/>
      <w:bookmarkEnd w:id="48"/>
    </w:p>
    <w:p w14:paraId="619EB117">
      <w:pPr>
        <w:tabs>
          <w:tab w:val="left" w:pos="1148"/>
        </w:tabs>
        <w:spacing w:line="360" w:lineRule="auto"/>
        <w:ind w:firstLine="480"/>
        <w:jc w:val="left"/>
        <w:rPr>
          <w:rFonts w:hint="eastAsia" w:ascii="宋体" w:hAnsi="宋体" w:cs="宋体"/>
          <w:sz w:val="24"/>
        </w:rPr>
      </w:pPr>
      <w:bookmarkStart w:id="50" w:name="_Toc17375_WPSOffice_Level1"/>
      <w:bookmarkStart w:id="51" w:name="_Toc32297"/>
      <w:bookmarkStart w:id="52" w:name="_Toc317690130"/>
      <w:bookmarkStart w:id="53" w:name="_Toc8224_WPSOffice_Level1"/>
      <w:bookmarkStart w:id="54" w:name="_Toc23917"/>
      <w:bookmarkStart w:id="55" w:name="_Toc20893"/>
      <w:bookmarkStart w:id="56" w:name="_Toc317689842"/>
      <w:bookmarkStart w:id="57" w:name="_Toc317067408"/>
      <w:bookmarkStart w:id="58" w:name="_Toc58225922"/>
      <w:r>
        <w:rPr>
          <w:rFonts w:hint="eastAsia" w:ascii="宋体" w:hAnsi="宋体" w:cs="宋体"/>
          <w:sz w:val="24"/>
        </w:rPr>
        <w:t>在产品质保期内有制造质量的货物，由供货方负责修理或更换。对非甲方责任造成的货物损坏，供货方有优先提供更换的义务。</w:t>
      </w:r>
    </w:p>
    <w:p w14:paraId="7736FB40">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6A885B4E">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6D6A9608">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3BCD02B8">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32D3516F">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w:t>
      </w:r>
      <w:r>
        <w:rPr>
          <w:rFonts w:hint="eastAsia" w:ascii="宋体" w:hAnsi="宋体" w:cs="宋体"/>
          <w:sz w:val="24"/>
          <w:highlight w:val="none"/>
          <w:lang w:eastAsia="zh-CN"/>
        </w:rPr>
        <w:t>报价人</w:t>
      </w:r>
      <w:r>
        <w:rPr>
          <w:rFonts w:hint="eastAsia" w:ascii="宋体" w:hAnsi="宋体" w:eastAsia="宋体" w:cs="宋体"/>
          <w:sz w:val="24"/>
          <w:highlight w:val="none"/>
        </w:rPr>
        <w:t>必须在用户提出维护要求的2小时内作出响应，24小时内提交故障分析报告和解决方案，48小时内故障得以解决。</w:t>
      </w:r>
    </w:p>
    <w:p w14:paraId="54BF337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w:t>
      </w:r>
      <w:r>
        <w:rPr>
          <w:rFonts w:hint="eastAsia" w:ascii="宋体" w:hAnsi="宋体" w:cs="宋体"/>
          <w:sz w:val="24"/>
          <w:highlight w:val="none"/>
          <w:lang w:eastAsia="zh-CN"/>
        </w:rPr>
        <w:t>报价人</w:t>
      </w:r>
      <w:r>
        <w:rPr>
          <w:rFonts w:hint="eastAsia" w:ascii="宋体" w:hAnsi="宋体" w:eastAsia="宋体" w:cs="宋体"/>
          <w:sz w:val="24"/>
          <w:highlight w:val="none"/>
        </w:rPr>
        <w:t>应在接到故障电话后4小时到达现场，24小时内修复故障。</w:t>
      </w:r>
    </w:p>
    <w:p w14:paraId="4298B392">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eastAsia="宋体" w:cs="宋体"/>
          <w:sz w:val="24"/>
          <w:highlight w:val="none"/>
        </w:rPr>
        <w:t>负责一切后果。</w:t>
      </w:r>
    </w:p>
    <w:p w14:paraId="69D3E33F">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06D39756">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20565F36">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47B30CF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w:t>
      </w:r>
      <w:r>
        <w:rPr>
          <w:rFonts w:hint="eastAsia" w:ascii="宋体" w:hAnsi="宋体" w:cs="宋体"/>
          <w:sz w:val="24"/>
          <w:highlight w:val="none"/>
          <w:lang w:eastAsia="zh-CN"/>
        </w:rPr>
        <w:t>报价人</w:t>
      </w:r>
      <w:r>
        <w:rPr>
          <w:rFonts w:hint="eastAsia" w:ascii="宋体" w:hAnsi="宋体" w:cs="宋体"/>
          <w:sz w:val="24"/>
          <w:highlight w:val="none"/>
        </w:rPr>
        <w:t>必须在用户提出维护要求的2小时内作出响应，24小时内提交故障分析报告和解决方案，48小时内故障得以解决。</w:t>
      </w:r>
    </w:p>
    <w:p w14:paraId="5A60FE12">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w:t>
      </w:r>
      <w:r>
        <w:rPr>
          <w:rFonts w:hint="eastAsia" w:ascii="宋体" w:hAnsi="宋体" w:cs="宋体"/>
          <w:sz w:val="24"/>
          <w:highlight w:val="none"/>
          <w:lang w:eastAsia="zh-CN"/>
        </w:rPr>
        <w:t>报价人</w:t>
      </w:r>
      <w:r>
        <w:rPr>
          <w:rFonts w:hint="eastAsia" w:ascii="宋体" w:hAnsi="宋体" w:cs="宋体"/>
          <w:sz w:val="24"/>
          <w:highlight w:val="none"/>
        </w:rPr>
        <w:t>应在接到故障电话后4小时到达现场，24小时内修复故障。</w:t>
      </w:r>
    </w:p>
    <w:p w14:paraId="60E09078">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cs="宋体"/>
          <w:sz w:val="24"/>
          <w:highlight w:val="none"/>
        </w:rPr>
        <w:t>负责一切后果</w:t>
      </w:r>
      <w:r>
        <w:rPr>
          <w:rFonts w:hint="eastAsia" w:ascii="宋体" w:hAnsi="宋体" w:cs="宋体"/>
        </w:rPr>
        <w:t>。</w:t>
      </w:r>
    </w:p>
    <w:p w14:paraId="2322C1AB">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6E91DADA">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54B21586">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2D208E03">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9" w:name="_Toc10206"/>
      <w:r>
        <w:rPr>
          <w:rFonts w:hint="eastAsia" w:ascii="宋体" w:hAnsi="宋体" w:cs="宋体"/>
          <w:kern w:val="0"/>
          <w:sz w:val="24"/>
          <w:szCs w:val="24"/>
        </w:rPr>
        <w:t>质量保证</w:t>
      </w:r>
      <w:bookmarkEnd w:id="50"/>
      <w:bookmarkEnd w:id="51"/>
      <w:bookmarkEnd w:id="52"/>
      <w:bookmarkEnd w:id="53"/>
      <w:bookmarkEnd w:id="54"/>
      <w:bookmarkEnd w:id="55"/>
      <w:bookmarkEnd w:id="56"/>
      <w:bookmarkEnd w:id="57"/>
      <w:bookmarkEnd w:id="58"/>
      <w:bookmarkEnd w:id="59"/>
    </w:p>
    <w:p w14:paraId="5776664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7998998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6C60707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0" w:name="_Toc317690135"/>
      <w:bookmarkStart w:id="61" w:name="_Toc306176806"/>
      <w:bookmarkStart w:id="62" w:name="_Toc317689847"/>
      <w:bookmarkStart w:id="63" w:name="_Toc23256"/>
      <w:bookmarkStart w:id="64" w:name="_Toc23858"/>
      <w:bookmarkStart w:id="65" w:name="_Toc1204"/>
      <w:bookmarkStart w:id="66" w:name="_Toc2446"/>
      <w:bookmarkStart w:id="67" w:name="_Toc22439_WPSOffice_Level1"/>
      <w:bookmarkStart w:id="68" w:name="_Toc4330_WPSOffice_Level1"/>
      <w:bookmarkStart w:id="69" w:name="_Toc58225924"/>
      <w:r>
        <w:rPr>
          <w:rFonts w:hint="eastAsia" w:ascii="宋体" w:hAnsi="宋体" w:cs="宋体"/>
          <w:kern w:val="0"/>
          <w:sz w:val="24"/>
          <w:szCs w:val="24"/>
        </w:rPr>
        <w:t>包装、运输和贮存</w:t>
      </w:r>
      <w:bookmarkEnd w:id="60"/>
      <w:bookmarkEnd w:id="61"/>
      <w:bookmarkEnd w:id="62"/>
      <w:bookmarkEnd w:id="63"/>
      <w:bookmarkEnd w:id="64"/>
      <w:bookmarkEnd w:id="65"/>
      <w:bookmarkEnd w:id="66"/>
      <w:bookmarkEnd w:id="67"/>
      <w:bookmarkEnd w:id="68"/>
      <w:bookmarkEnd w:id="69"/>
    </w:p>
    <w:p w14:paraId="15BC72B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0" w:name="_Toc317690136"/>
      <w:bookmarkStart w:id="71" w:name="_Toc317689848"/>
      <w:r>
        <w:rPr>
          <w:rFonts w:hint="eastAsia" w:ascii="宋体" w:hAnsi="宋体" w:eastAsia="宋体" w:cs="宋体"/>
          <w:sz w:val="24"/>
          <w:szCs w:val="24"/>
        </w:rPr>
        <w:t>设备制造完成并通过试验后应及时包装, 否则应得到切实的保护, 确保其不受污损。</w:t>
      </w:r>
      <w:bookmarkEnd w:id="70"/>
      <w:bookmarkEnd w:id="71"/>
    </w:p>
    <w:p w14:paraId="1D125BD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496621F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59DE47E0">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119BE16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4DFD8D1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390C097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144146BB">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1367962B">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1AEEAC4C">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69E5D175">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49"/>
    <w:p w14:paraId="28583C51">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86"/>
    <w:family w:val="roman"/>
    <w:pitch w:val="default"/>
    <w:sig w:usb0="00000000" w:usb1="00000000" w:usb2="00000001" w:usb3="00000000" w:csb0="400001BF" w:csb1="DFF7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兰亭黑简体">
    <w:altName w:val="方正黑体_GBK"/>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微软雅黑"/>
    <w:panose1 w:val="02010609060101010101"/>
    <w:charset w:val="00"/>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77B8">
    <w:pPr>
      <w:pStyle w:val="18"/>
      <w:framePr w:wrap="around" w:vAnchor="text" w:hAnchor="margin" w:xAlign="outside" w:y="1"/>
      <w:ind w:firstLine="360"/>
      <w:rPr>
        <w:rStyle w:val="28"/>
        <w:rFonts w:hint="eastAsia"/>
      </w:rPr>
    </w:pPr>
  </w:p>
  <w:p w14:paraId="166DD9AF">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33610">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9CC48">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440DC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C2739F"/>
    <w:rsid w:val="17FFC1E2"/>
    <w:rsid w:val="18386E60"/>
    <w:rsid w:val="184E1F0C"/>
    <w:rsid w:val="18CA75FE"/>
    <w:rsid w:val="191C334A"/>
    <w:rsid w:val="19460CE0"/>
    <w:rsid w:val="1A533DAA"/>
    <w:rsid w:val="1ABC3C79"/>
    <w:rsid w:val="1B5B5B18"/>
    <w:rsid w:val="1BDD0642"/>
    <w:rsid w:val="1C030936"/>
    <w:rsid w:val="1E7369BB"/>
    <w:rsid w:val="1F366CA9"/>
    <w:rsid w:val="1FD3297A"/>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A8F155E"/>
    <w:rsid w:val="2B937FFC"/>
    <w:rsid w:val="2BD04AB6"/>
    <w:rsid w:val="2CA71D5E"/>
    <w:rsid w:val="2D8B28C0"/>
    <w:rsid w:val="2D9D324A"/>
    <w:rsid w:val="2E1B2474"/>
    <w:rsid w:val="2E681E16"/>
    <w:rsid w:val="2F201868"/>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B9741BB"/>
    <w:rsid w:val="3CA95481"/>
    <w:rsid w:val="3DF25826"/>
    <w:rsid w:val="3DFB21D5"/>
    <w:rsid w:val="3E915CD0"/>
    <w:rsid w:val="3EE038B6"/>
    <w:rsid w:val="3F016950"/>
    <w:rsid w:val="3FA465B9"/>
    <w:rsid w:val="3FFB571C"/>
    <w:rsid w:val="404359A5"/>
    <w:rsid w:val="40621095"/>
    <w:rsid w:val="40AB38A5"/>
    <w:rsid w:val="40B73FCC"/>
    <w:rsid w:val="410C1392"/>
    <w:rsid w:val="418836F4"/>
    <w:rsid w:val="43BA072D"/>
    <w:rsid w:val="441A4B06"/>
    <w:rsid w:val="455B50DE"/>
    <w:rsid w:val="46D27786"/>
    <w:rsid w:val="480E7EAC"/>
    <w:rsid w:val="485B1C35"/>
    <w:rsid w:val="494578CA"/>
    <w:rsid w:val="49B332B1"/>
    <w:rsid w:val="4A9F479A"/>
    <w:rsid w:val="4ADB6E6B"/>
    <w:rsid w:val="4AEF3101"/>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47475F2"/>
    <w:rsid w:val="5483498F"/>
    <w:rsid w:val="54E70157"/>
    <w:rsid w:val="559E1A7D"/>
    <w:rsid w:val="55AE4DBC"/>
    <w:rsid w:val="56D519C0"/>
    <w:rsid w:val="56EA7A59"/>
    <w:rsid w:val="57F72DA3"/>
    <w:rsid w:val="58E40DC6"/>
    <w:rsid w:val="59633ABF"/>
    <w:rsid w:val="5A505458"/>
    <w:rsid w:val="5B131468"/>
    <w:rsid w:val="5C537F09"/>
    <w:rsid w:val="5C813C19"/>
    <w:rsid w:val="5D7C6762"/>
    <w:rsid w:val="5DD07FF5"/>
    <w:rsid w:val="5DE21359"/>
    <w:rsid w:val="5E0673C2"/>
    <w:rsid w:val="5EF7640B"/>
    <w:rsid w:val="5F9B50CF"/>
    <w:rsid w:val="5FD03A95"/>
    <w:rsid w:val="607D4D71"/>
    <w:rsid w:val="61334FD6"/>
    <w:rsid w:val="61A80D72"/>
    <w:rsid w:val="625F689C"/>
    <w:rsid w:val="6298360A"/>
    <w:rsid w:val="62F70FAC"/>
    <w:rsid w:val="640544A8"/>
    <w:rsid w:val="640E399E"/>
    <w:rsid w:val="645F7296"/>
    <w:rsid w:val="646642CA"/>
    <w:rsid w:val="649C269E"/>
    <w:rsid w:val="64A6416A"/>
    <w:rsid w:val="64CA3BAE"/>
    <w:rsid w:val="64ED5626"/>
    <w:rsid w:val="65627369"/>
    <w:rsid w:val="65A253CE"/>
    <w:rsid w:val="666F5341"/>
    <w:rsid w:val="66DE7249"/>
    <w:rsid w:val="6709671D"/>
    <w:rsid w:val="672E3660"/>
    <w:rsid w:val="67A86C0E"/>
    <w:rsid w:val="67C55FFA"/>
    <w:rsid w:val="683B7691"/>
    <w:rsid w:val="684D4E8E"/>
    <w:rsid w:val="6AC91050"/>
    <w:rsid w:val="6AE63C13"/>
    <w:rsid w:val="6AF79E26"/>
    <w:rsid w:val="6B87697A"/>
    <w:rsid w:val="6BF3D346"/>
    <w:rsid w:val="6C20132D"/>
    <w:rsid w:val="6D50338F"/>
    <w:rsid w:val="6D8C35C7"/>
    <w:rsid w:val="6DDD0AD4"/>
    <w:rsid w:val="6E565215"/>
    <w:rsid w:val="6EF275A1"/>
    <w:rsid w:val="6F416438"/>
    <w:rsid w:val="6F453019"/>
    <w:rsid w:val="6FBFC152"/>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E37AF"/>
    <w:rsid w:val="7AFB141C"/>
    <w:rsid w:val="7B9851BE"/>
    <w:rsid w:val="7BAD38DD"/>
    <w:rsid w:val="7C673F2C"/>
    <w:rsid w:val="7D1459C1"/>
    <w:rsid w:val="7D700E1F"/>
    <w:rsid w:val="7DCFD5A5"/>
    <w:rsid w:val="7DFBA73A"/>
    <w:rsid w:val="7DFD5204"/>
    <w:rsid w:val="7EAD4801"/>
    <w:rsid w:val="7EB3400B"/>
    <w:rsid w:val="7EB729B4"/>
    <w:rsid w:val="7EC63350"/>
    <w:rsid w:val="7F29BF41"/>
    <w:rsid w:val="7F9E3966"/>
    <w:rsid w:val="7FA8499B"/>
    <w:rsid w:val="7FFD7665"/>
    <w:rsid w:val="BBD75E28"/>
    <w:rsid w:val="DB56F5A0"/>
    <w:rsid w:val="DDA45BD8"/>
    <w:rsid w:val="DDEABBE1"/>
    <w:rsid w:val="E6FE334E"/>
    <w:rsid w:val="EDBDF4CB"/>
    <w:rsid w:val="FF7D0E11"/>
    <w:rsid w:val="FF7F9344"/>
    <w:rsid w:val="FFBEDC22"/>
    <w:rsid w:val="FFEFAE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8</Pages>
  <Words>3883</Words>
  <Characters>4490</Characters>
  <Lines>25</Lines>
  <Paragraphs>7</Paragraphs>
  <TotalTime>0</TotalTime>
  <ScaleCrop>false</ScaleCrop>
  <LinksUpToDate>false</LinksUpToDate>
  <CharactersWithSpaces>4541</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2019-03-06T10:06:00Z</dcterms:created>
  <dc:creator>李曼</dc:creator>
  <cp:lastModifiedBy>administrator</cp:lastModifiedBy>
  <cp:lastPrinted>2020-08-02T10:54:00Z</cp:lastPrinted>
  <dcterms:modified xsi:type="dcterms:W3CDTF">2026-07-23T16:06:13Z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7829512385D435E12EAE556A531E05EA_43</vt:lpwstr>
  </property>
  <property fmtid="{D5CDD505-2E9C-101B-9397-08002B2CF9AE}" pid="4" name="KSOTemplateDocerSaveRecord">
    <vt:lpwstr>eyJoZGlkIjoiOWNjZWIzMjExMGMxZGJlYjAwMzYwMTY2NTcxZDM2ODgiLCJ1c2VySWQiOiIzODA0NDY2MjQifQ==</vt:lpwstr>
  </property>
</Properties>
</file>